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-ansi="Helvetica" w:cs="Helvetica"/>
          <w:sz w:val="24"/>
          <w:sz-cs w:val="24"/>
        </w:rPr>
        <w:t xml:space="preserve">Tabuleiro de jogo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O jogo "Jogo X" deve. idealmente, ser impresso em tela branca a uma cor (preto) mantendo a área branca à volta do desenho do jogo.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Para finalizar o jogo devem ser reforçados os cantos com vínil autocolante ou tecido de encadernação, em ambos os casos, de cor preta.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-ansi="Helvetica" w:cs="Helvetica"/>
          <w:sz w:val="24"/>
          <w:sz-cs w:val="24"/>
        </w:rPr>
        <w:t xml:space="preserve">Dado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</w:rPr>
        <w:t xml:space="preserve">A planificação do dado precisa apenas de ser impresso em papel com gramagem superior a 120 ou caso haja possibilidade, em cartolina branca ou outra cor clara.</w:t>
      </w:r>
    </w:p>
    <w:p>
      <w:pPr/>
      <w:r>
        <w:rPr>
          <w:rFonts w:ascii="Helvetica" w:h-ansi="Helvetica" w:cs="Helvetica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CocoaOOXMLWriter/949.54</generator>
</meta>
</file>